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28" w:rsidRPr="00987D28" w:rsidRDefault="00987D28" w:rsidP="00987D28">
      <w:pPr>
        <w:pStyle w:val="a3"/>
        <w:spacing w:before="0" w:beforeAutospacing="0" w:after="0" w:afterAutospacing="0" w:line="276" w:lineRule="auto"/>
        <w:ind w:right="29" w:firstLine="706"/>
        <w:jc w:val="center"/>
        <w:rPr>
          <w:sz w:val="28"/>
          <w:szCs w:val="28"/>
        </w:rPr>
      </w:pPr>
      <w:r w:rsidRPr="00987D28">
        <w:rPr>
          <w:b/>
          <w:bCs/>
          <w:color w:val="000000"/>
          <w:kern w:val="24"/>
          <w:sz w:val="28"/>
          <w:szCs w:val="28"/>
        </w:rPr>
        <w:t>МУНИЦИПАЛЬНАЯ ПРОГРАММА НАСТАВНИЧЕСТВА</w:t>
      </w:r>
    </w:p>
    <w:p w:rsidR="00987D28" w:rsidRPr="00987D28" w:rsidRDefault="00987D28" w:rsidP="00987D28">
      <w:pPr>
        <w:pStyle w:val="a3"/>
        <w:spacing w:before="0" w:beforeAutospacing="0" w:after="0" w:afterAutospacing="0" w:line="276" w:lineRule="auto"/>
        <w:ind w:right="29" w:firstLine="706"/>
        <w:jc w:val="center"/>
        <w:rPr>
          <w:sz w:val="28"/>
          <w:szCs w:val="28"/>
        </w:rPr>
      </w:pPr>
      <w:r w:rsidRPr="00987D28">
        <w:rPr>
          <w:b/>
          <w:bCs/>
          <w:color w:val="000000"/>
          <w:kern w:val="24"/>
          <w:sz w:val="28"/>
          <w:szCs w:val="28"/>
        </w:rPr>
        <w:t>В МУНИЦИПАЛЬНОМ ОБРАЗОВАНИИ «КАТАНГСКИЙ РАЙОН» НА 2021-2024 ГОДЫ</w:t>
      </w:r>
    </w:p>
    <w:p w:rsidR="0067231D" w:rsidRDefault="0067231D"/>
    <w:p w:rsidR="00575F5D" w:rsidRPr="00575F5D" w:rsidRDefault="00575F5D" w:rsidP="00987D28">
      <w:pPr>
        <w:pStyle w:val="a3"/>
        <w:spacing w:before="0" w:beforeAutospacing="0" w:after="0" w:afterAutospacing="0"/>
        <w:ind w:left="144" w:firstLine="432"/>
        <w:jc w:val="both"/>
        <w:rPr>
          <w:rFonts w:eastAsia="Calibri" w:cs="+mn-cs"/>
          <w:b/>
          <w:color w:val="000000"/>
          <w:kern w:val="24"/>
          <w:sz w:val="28"/>
          <w:szCs w:val="28"/>
        </w:rPr>
      </w:pPr>
      <w:r w:rsidRPr="00575F5D">
        <w:rPr>
          <w:rFonts w:eastAsia="Calibri" w:cs="+mn-cs"/>
          <w:b/>
          <w:color w:val="000000"/>
          <w:kern w:val="24"/>
          <w:sz w:val="28"/>
          <w:szCs w:val="28"/>
        </w:rPr>
        <w:t>СЛАЙД</w:t>
      </w:r>
      <w:r>
        <w:rPr>
          <w:rFonts w:eastAsia="Calibri" w:cs="+mn-cs"/>
          <w:b/>
          <w:color w:val="000000"/>
          <w:kern w:val="24"/>
          <w:sz w:val="28"/>
          <w:szCs w:val="28"/>
        </w:rPr>
        <w:t xml:space="preserve"> 2</w:t>
      </w:r>
    </w:p>
    <w:p w:rsidR="00987D28" w:rsidRPr="00987D28" w:rsidRDefault="00987D28" w:rsidP="00987D28">
      <w:pPr>
        <w:pStyle w:val="a3"/>
        <w:spacing w:before="0" w:beforeAutospacing="0" w:after="0" w:afterAutospacing="0"/>
        <w:ind w:left="144" w:firstLine="432"/>
        <w:jc w:val="both"/>
        <w:rPr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Сеть образовательных учреждений района включает в себя 13 учреждений, в том числе 5 средних школ, 1 начальная школа – детский сад, 5 детских садов и 2 учреждения дополнительного образования. </w:t>
      </w:r>
    </w:p>
    <w:p w:rsidR="00987D28" w:rsidRPr="00987D28" w:rsidRDefault="00987D28" w:rsidP="00987D28">
      <w:pPr>
        <w:pStyle w:val="a3"/>
        <w:spacing w:before="0" w:beforeAutospacing="0" w:after="0" w:afterAutospacing="0"/>
        <w:ind w:left="144" w:firstLine="432"/>
        <w:jc w:val="both"/>
        <w:rPr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5 общеобразовательных учреждений района из 6 являются малокомплектными, что составляет 83,3% от общего количества общеобразовательных учреждений.  9 образовательных учреждений района (69,2% от общего количества образовательных учреждений) являются труднодоступными.     </w:t>
      </w:r>
    </w:p>
    <w:p w:rsidR="00987D28" w:rsidRPr="00987D28" w:rsidRDefault="00987D28" w:rsidP="00987D28">
      <w:pPr>
        <w:pStyle w:val="a3"/>
        <w:spacing w:before="0" w:beforeAutospacing="0" w:after="0" w:afterAutospacing="0"/>
        <w:ind w:left="144" w:firstLine="432"/>
        <w:jc w:val="both"/>
        <w:rPr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>Количество обучающихся общеобразовательных учреждений по району- 405 чел., из них 34 ребенка с ОВЗ обучаются по адаптированным основным общеобразовательным программам.</w:t>
      </w:r>
    </w:p>
    <w:p w:rsidR="00987D28" w:rsidRPr="00987D28" w:rsidRDefault="00987D28" w:rsidP="00987D28">
      <w:pPr>
        <w:pStyle w:val="a3"/>
        <w:spacing w:before="0" w:beforeAutospacing="0" w:after="0" w:afterAutospacing="0"/>
        <w:ind w:left="144" w:firstLine="432"/>
        <w:jc w:val="both"/>
        <w:rPr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>Количество педагогов, реализующих образовательные программы начального общего, основного общего и среднего общего образования, - 77 чел. В районе существует кадровая проблема.</w:t>
      </w:r>
    </w:p>
    <w:p w:rsidR="00987D28" w:rsidRPr="00987D28" w:rsidRDefault="00987D28" w:rsidP="00987D28">
      <w:pPr>
        <w:pStyle w:val="a3"/>
        <w:spacing w:before="0" w:beforeAutospacing="0" w:after="0" w:afterAutospacing="0"/>
        <w:ind w:left="144" w:firstLine="432"/>
        <w:jc w:val="both"/>
        <w:rPr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 В динамике за три года наблюдается снижение количества обучающихся по району.</w:t>
      </w:r>
    </w:p>
    <w:p w:rsidR="00987D28" w:rsidRPr="00987D28" w:rsidRDefault="00987D28" w:rsidP="00987D28">
      <w:pPr>
        <w:pStyle w:val="a3"/>
        <w:spacing w:before="0" w:beforeAutospacing="0" w:after="0" w:afterAutospacing="0"/>
        <w:rPr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      В связи с низкой скоростью Интернета общеобразовательные учреждения района не могут эффективно использовать в учебном процессе различные образовательные платформы. </w:t>
      </w:r>
    </w:p>
    <w:p w:rsidR="00575F5D" w:rsidRDefault="00987D28" w:rsidP="00987D28">
      <w:pPr>
        <w:pStyle w:val="a3"/>
        <w:spacing w:before="0" w:beforeAutospacing="0" w:after="0" w:afterAutospacing="0"/>
        <w:rPr>
          <w:rFonts w:eastAsia="Calibri" w:cs="+mn-cs"/>
          <w:color w:val="000000"/>
          <w:kern w:val="24"/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 </w:t>
      </w:r>
    </w:p>
    <w:p w:rsidR="00987D28" w:rsidRPr="00987D28" w:rsidRDefault="00575F5D" w:rsidP="00987D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 w:cs="+mn-cs"/>
          <w:b/>
          <w:color w:val="000000"/>
          <w:kern w:val="24"/>
          <w:sz w:val="28"/>
          <w:szCs w:val="28"/>
        </w:rPr>
        <w:t>СЛАЙД 3</w:t>
      </w:r>
      <w:r w:rsidR="00987D28" w:rsidRPr="00987D28">
        <w:rPr>
          <w:rFonts w:eastAsia="Calibri" w:cs="+mn-cs"/>
          <w:color w:val="000000"/>
          <w:kern w:val="24"/>
          <w:sz w:val="28"/>
          <w:szCs w:val="28"/>
        </w:rPr>
        <w:t xml:space="preserve">     </w:t>
      </w:r>
    </w:p>
    <w:p w:rsidR="00987D28" w:rsidRPr="00987D28" w:rsidRDefault="00987D28" w:rsidP="00987D28">
      <w:pPr>
        <w:pStyle w:val="a3"/>
        <w:spacing w:before="0" w:beforeAutospacing="0" w:after="0" w:afterAutospacing="0"/>
        <w:rPr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На территории Катангского района нет организаций среднего профессионального образования, высшего профессионального образования, поэтому основные формы </w:t>
      </w:r>
      <w:proofErr w:type="gramStart"/>
      <w:r w:rsidRPr="00987D28">
        <w:rPr>
          <w:rFonts w:eastAsia="Calibri" w:cs="+mn-cs"/>
          <w:color w:val="000000"/>
          <w:kern w:val="24"/>
          <w:sz w:val="28"/>
          <w:szCs w:val="28"/>
        </w:rPr>
        <w:t>наставничества</w:t>
      </w:r>
      <w:proofErr w:type="gramEnd"/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 следующие:</w:t>
      </w:r>
    </w:p>
    <w:p w:rsidR="00987D28" w:rsidRPr="00987D28" w:rsidRDefault="00D27F42" w:rsidP="00987D2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eastAsia="Calibri" w:cs="+mn-cs"/>
          <w:color w:val="000000"/>
          <w:kern w:val="24"/>
          <w:sz w:val="28"/>
          <w:szCs w:val="28"/>
        </w:rPr>
        <w:t>Учитель - учитель</w:t>
      </w:r>
    </w:p>
    <w:p w:rsidR="00987D28" w:rsidRPr="00987D28" w:rsidRDefault="00987D28" w:rsidP="00987D28">
      <w:pPr>
        <w:pStyle w:val="a4"/>
        <w:numPr>
          <w:ilvl w:val="0"/>
          <w:numId w:val="1"/>
        </w:numPr>
        <w:rPr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Учитель – </w:t>
      </w:r>
      <w:r w:rsidR="00D27F42">
        <w:rPr>
          <w:rFonts w:eastAsia="Calibri" w:cs="+mn-cs"/>
          <w:color w:val="000000"/>
          <w:kern w:val="24"/>
          <w:sz w:val="28"/>
          <w:szCs w:val="28"/>
        </w:rPr>
        <w:t>ученик</w:t>
      </w:r>
    </w:p>
    <w:p w:rsidR="00987D28" w:rsidRPr="00987D28" w:rsidRDefault="00D27F42" w:rsidP="00987D2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eastAsia="Calibri" w:cs="+mn-cs"/>
          <w:color w:val="000000"/>
          <w:kern w:val="24"/>
          <w:sz w:val="28"/>
          <w:szCs w:val="28"/>
        </w:rPr>
        <w:t xml:space="preserve">Ученик – </w:t>
      </w:r>
      <w:r w:rsidR="00987D28" w:rsidRPr="00987D28">
        <w:rPr>
          <w:rFonts w:eastAsia="Calibri" w:cs="+mn-cs"/>
          <w:color w:val="000000"/>
          <w:kern w:val="24"/>
          <w:sz w:val="28"/>
          <w:szCs w:val="28"/>
        </w:rPr>
        <w:t>ученик.</w:t>
      </w:r>
    </w:p>
    <w:p w:rsidR="00987D28" w:rsidRPr="00987D28" w:rsidRDefault="00D27F42" w:rsidP="00987D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cs="+mn-cs"/>
          <w:color w:val="000000"/>
          <w:kern w:val="24"/>
          <w:sz w:val="28"/>
          <w:szCs w:val="28"/>
        </w:rPr>
        <w:t>На протяжении длительного времени педагогические</w:t>
      </w:r>
      <w:r w:rsidR="00987D28" w:rsidRPr="00987D28">
        <w:rPr>
          <w:rFonts w:cs="+mn-cs"/>
          <w:color w:val="000000"/>
          <w:kern w:val="24"/>
          <w:sz w:val="28"/>
          <w:szCs w:val="28"/>
        </w:rPr>
        <w:t xml:space="preserve"> коллектив</w:t>
      </w:r>
      <w:r>
        <w:rPr>
          <w:rFonts w:cs="+mn-cs"/>
          <w:color w:val="000000"/>
          <w:kern w:val="24"/>
          <w:sz w:val="28"/>
          <w:szCs w:val="28"/>
        </w:rPr>
        <w:t>ы</w:t>
      </w:r>
      <w:r w:rsidR="00987D28" w:rsidRPr="00987D28">
        <w:rPr>
          <w:rFonts w:cs="+mn-cs"/>
          <w:color w:val="000000"/>
          <w:kern w:val="24"/>
          <w:sz w:val="28"/>
          <w:szCs w:val="28"/>
        </w:rPr>
        <w:t xml:space="preserve"> </w:t>
      </w:r>
      <w:r w:rsidR="00EE3B15">
        <w:rPr>
          <w:rFonts w:cs="+mn-cs"/>
          <w:color w:val="000000"/>
          <w:kern w:val="24"/>
          <w:sz w:val="28"/>
          <w:szCs w:val="28"/>
        </w:rPr>
        <w:t>образовательных организаций</w:t>
      </w:r>
      <w:r w:rsidR="00987D28" w:rsidRPr="00987D28">
        <w:rPr>
          <w:rFonts w:cs="+mn-cs"/>
          <w:color w:val="000000"/>
          <w:kern w:val="24"/>
          <w:sz w:val="28"/>
          <w:szCs w:val="28"/>
        </w:rPr>
        <w:t xml:space="preserve"> </w:t>
      </w:r>
      <w:r>
        <w:rPr>
          <w:rFonts w:cs="+mn-cs"/>
          <w:color w:val="000000"/>
          <w:kern w:val="24"/>
          <w:sz w:val="28"/>
          <w:szCs w:val="28"/>
        </w:rPr>
        <w:t>состояли, в основном</w:t>
      </w:r>
      <w:r w:rsidR="00EE3B15">
        <w:rPr>
          <w:rFonts w:cs="+mn-cs"/>
          <w:color w:val="000000"/>
          <w:kern w:val="24"/>
          <w:sz w:val="28"/>
          <w:szCs w:val="28"/>
        </w:rPr>
        <w:t>,</w:t>
      </w:r>
      <w:r>
        <w:rPr>
          <w:rFonts w:cs="+mn-cs"/>
          <w:color w:val="000000"/>
          <w:kern w:val="24"/>
          <w:sz w:val="28"/>
          <w:szCs w:val="28"/>
        </w:rPr>
        <w:t xml:space="preserve"> из </w:t>
      </w:r>
      <w:proofErr w:type="spellStart"/>
      <w:r>
        <w:rPr>
          <w:rFonts w:cs="+mn-cs"/>
          <w:color w:val="000000"/>
          <w:kern w:val="24"/>
          <w:sz w:val="28"/>
          <w:szCs w:val="28"/>
        </w:rPr>
        <w:t>стажистов</w:t>
      </w:r>
      <w:proofErr w:type="spellEnd"/>
      <w:r>
        <w:rPr>
          <w:rFonts w:cs="+mn-cs"/>
          <w:color w:val="000000"/>
          <w:kern w:val="24"/>
          <w:sz w:val="28"/>
          <w:szCs w:val="28"/>
        </w:rPr>
        <w:t>. С одной стороны – это опыт, а с другой стороны существует проблема низкого владения ИКТ компетентностями. О</w:t>
      </w:r>
      <w:r w:rsidR="00987D28" w:rsidRPr="00987D28">
        <w:rPr>
          <w:rFonts w:cs="+mn-cs"/>
          <w:color w:val="000000"/>
          <w:kern w:val="24"/>
          <w:sz w:val="28"/>
          <w:szCs w:val="28"/>
        </w:rPr>
        <w:t xml:space="preserve">бновление педагогических кадров не происходило достаточно долгое время. </w:t>
      </w:r>
    </w:p>
    <w:p w:rsidR="00987D28" w:rsidRPr="00987D28" w:rsidRDefault="00987D28" w:rsidP="00987D28">
      <w:pPr>
        <w:pStyle w:val="a3"/>
        <w:spacing w:before="0" w:beforeAutospacing="0" w:after="0" w:afterAutospacing="0"/>
        <w:rPr>
          <w:sz w:val="28"/>
          <w:szCs w:val="28"/>
        </w:rPr>
      </w:pPr>
      <w:r w:rsidRPr="00987D28">
        <w:rPr>
          <w:rFonts w:cs="+mn-cs"/>
          <w:color w:val="000000"/>
          <w:kern w:val="24"/>
          <w:sz w:val="28"/>
          <w:szCs w:val="28"/>
        </w:rPr>
        <w:t xml:space="preserve">Но в последние три года ситуация изменилась. В школы района </w:t>
      </w:r>
      <w:r w:rsidR="00D27F42">
        <w:rPr>
          <w:rFonts w:cs="+mn-cs"/>
          <w:color w:val="000000"/>
          <w:kern w:val="24"/>
          <w:sz w:val="28"/>
          <w:szCs w:val="28"/>
        </w:rPr>
        <w:t xml:space="preserve">пришли </w:t>
      </w:r>
      <w:r w:rsidRPr="00987D28">
        <w:rPr>
          <w:rFonts w:cs="+mn-cs"/>
          <w:color w:val="000000"/>
          <w:kern w:val="24"/>
          <w:sz w:val="28"/>
          <w:szCs w:val="28"/>
        </w:rPr>
        <w:t xml:space="preserve">молодые специалисты. </w:t>
      </w:r>
    </w:p>
    <w:p w:rsidR="00575F5D" w:rsidRPr="00575F5D" w:rsidRDefault="00987D28" w:rsidP="00575F5D">
      <w:pPr>
        <w:pStyle w:val="a3"/>
        <w:spacing w:before="0" w:beforeAutospacing="0" w:after="0" w:afterAutospacing="0"/>
        <w:rPr>
          <w:rFonts w:eastAsia="Calibri" w:cs="+mn-cs"/>
          <w:color w:val="000000"/>
          <w:kern w:val="24"/>
          <w:sz w:val="28"/>
          <w:szCs w:val="28"/>
        </w:rPr>
      </w:pPr>
      <w:r w:rsidRPr="00987D28">
        <w:rPr>
          <w:rFonts w:eastAsia="Calibri" w:cs="+mn-cs"/>
          <w:color w:val="000000"/>
          <w:kern w:val="24"/>
          <w:sz w:val="28"/>
          <w:szCs w:val="28"/>
        </w:rPr>
        <w:t xml:space="preserve">Поэтому в данных школах реализуются программы наставничества по форме </w:t>
      </w:r>
      <w:r w:rsidR="00D27F42">
        <w:rPr>
          <w:rFonts w:eastAsia="Calibri" w:cs="+mn-cs"/>
          <w:color w:val="000000"/>
          <w:kern w:val="24"/>
          <w:sz w:val="28"/>
          <w:szCs w:val="28"/>
        </w:rPr>
        <w:t>«У</w:t>
      </w:r>
      <w:r w:rsidRPr="00987D28">
        <w:rPr>
          <w:rFonts w:eastAsia="Calibri" w:cs="+mn-cs"/>
          <w:color w:val="000000"/>
          <w:kern w:val="24"/>
          <w:sz w:val="28"/>
          <w:szCs w:val="28"/>
        </w:rPr>
        <w:t>читель – учитель</w:t>
      </w:r>
      <w:r w:rsidR="00D27F42">
        <w:rPr>
          <w:rFonts w:eastAsia="Calibri" w:cs="+mn-cs"/>
          <w:color w:val="000000"/>
          <w:kern w:val="24"/>
          <w:sz w:val="28"/>
          <w:szCs w:val="28"/>
        </w:rPr>
        <w:t>»</w:t>
      </w:r>
      <w:r w:rsidRPr="00987D28">
        <w:rPr>
          <w:rFonts w:eastAsia="Calibri" w:cs="+mn-cs"/>
          <w:color w:val="000000"/>
          <w:kern w:val="24"/>
          <w:sz w:val="28"/>
          <w:szCs w:val="28"/>
        </w:rPr>
        <w:t>.</w:t>
      </w:r>
      <w:r w:rsidR="00575F5D" w:rsidRPr="00575F5D">
        <w:rPr>
          <w:rFonts w:eastAsia="Calibri" w:cstheme="minorBidi"/>
          <w:color w:val="000000" w:themeColor="text1"/>
          <w:kern w:val="24"/>
          <w:sz w:val="48"/>
          <w:szCs w:val="48"/>
        </w:rPr>
        <w:t xml:space="preserve"> </w:t>
      </w:r>
      <w:r w:rsidR="00575F5D" w:rsidRPr="00575F5D">
        <w:rPr>
          <w:rFonts w:eastAsia="Calibri" w:cs="+mn-cs"/>
          <w:color w:val="000000"/>
          <w:kern w:val="24"/>
          <w:sz w:val="28"/>
          <w:szCs w:val="28"/>
        </w:rPr>
        <w:t>В данном направлении реализуются две модели:</w:t>
      </w:r>
    </w:p>
    <w:p w:rsidR="00291821" w:rsidRPr="00575F5D" w:rsidRDefault="00EE3B15" w:rsidP="00575F5D">
      <w:pPr>
        <w:pStyle w:val="a3"/>
        <w:numPr>
          <w:ilvl w:val="0"/>
          <w:numId w:val="7"/>
        </w:numPr>
        <w:rPr>
          <w:rFonts w:eastAsia="Calibri" w:cs="+mn-cs"/>
          <w:color w:val="000000"/>
          <w:kern w:val="24"/>
          <w:sz w:val="28"/>
          <w:szCs w:val="28"/>
        </w:rPr>
      </w:pPr>
      <w:r w:rsidRPr="00575F5D">
        <w:rPr>
          <w:rFonts w:eastAsia="Calibri" w:cs="+mn-cs"/>
          <w:color w:val="000000"/>
          <w:kern w:val="24"/>
          <w:sz w:val="28"/>
          <w:szCs w:val="28"/>
        </w:rPr>
        <w:t>опытный наставник – молодой специалист</w:t>
      </w:r>
    </w:p>
    <w:p w:rsidR="00291821" w:rsidRPr="00575F5D" w:rsidRDefault="00EE3B15" w:rsidP="00575F5D">
      <w:pPr>
        <w:pStyle w:val="a3"/>
        <w:numPr>
          <w:ilvl w:val="0"/>
          <w:numId w:val="7"/>
        </w:numPr>
        <w:rPr>
          <w:rFonts w:eastAsia="Calibri" w:cs="+mn-cs"/>
          <w:color w:val="000000"/>
          <w:kern w:val="24"/>
          <w:sz w:val="28"/>
          <w:szCs w:val="28"/>
        </w:rPr>
      </w:pPr>
      <w:r w:rsidRPr="00575F5D">
        <w:rPr>
          <w:rFonts w:eastAsia="Calibri" w:cs="+mn-cs"/>
          <w:color w:val="000000"/>
          <w:kern w:val="24"/>
          <w:sz w:val="28"/>
          <w:szCs w:val="28"/>
        </w:rPr>
        <w:lastRenderedPageBreak/>
        <w:t>владеющий ИКТ технологиями – испытывающий трудности во владении ИКТ технологиями.</w:t>
      </w:r>
    </w:p>
    <w:p w:rsidR="00987D28" w:rsidRPr="00575F5D" w:rsidRDefault="00575F5D" w:rsidP="00987D28">
      <w:pPr>
        <w:pStyle w:val="a3"/>
        <w:spacing w:before="0" w:beforeAutospacing="0" w:after="0" w:afterAutospacing="0"/>
        <w:rPr>
          <w:rFonts w:eastAsia="Calibri" w:cs="+mn-cs"/>
          <w:b/>
          <w:color w:val="000000"/>
          <w:kern w:val="24"/>
          <w:sz w:val="28"/>
          <w:szCs w:val="28"/>
        </w:rPr>
      </w:pPr>
      <w:r>
        <w:rPr>
          <w:rFonts w:eastAsia="Calibri" w:cs="+mn-cs"/>
          <w:b/>
          <w:color w:val="000000"/>
          <w:kern w:val="24"/>
          <w:sz w:val="28"/>
          <w:szCs w:val="28"/>
        </w:rPr>
        <w:t>СЛАЙД 4</w:t>
      </w:r>
    </w:p>
    <w:p w:rsidR="00987D28" w:rsidRDefault="00987D28" w:rsidP="00987D28">
      <w:pPr>
        <w:pStyle w:val="a3"/>
        <w:spacing w:after="0"/>
        <w:rPr>
          <w:sz w:val="28"/>
          <w:szCs w:val="28"/>
        </w:rPr>
      </w:pPr>
      <w:r w:rsidRPr="00987D28">
        <w:rPr>
          <w:sz w:val="28"/>
          <w:szCs w:val="28"/>
        </w:rPr>
        <w:t>Молодой учитель в начале своего педагогического пути сталкивается с проблемами разного характера и испытывает немало трудностей. И если в этот период молодой специалист не получит помощи от своих более опытных коллег, то ситуативная трудность, с которой он сталкивается, может перерасти в устойчивую. И такой учитель не будет способен ни на творчество, ни на какие инновации. Очевидно, что помогать надо и помогать целенаправленно.</w:t>
      </w:r>
    </w:p>
    <w:p w:rsidR="00D27F42" w:rsidRPr="00575F5D" w:rsidRDefault="00D27F42" w:rsidP="00987D28">
      <w:pPr>
        <w:pStyle w:val="a3"/>
        <w:spacing w:after="0"/>
        <w:rPr>
          <w:color w:val="000000" w:themeColor="text1"/>
          <w:sz w:val="28"/>
          <w:szCs w:val="28"/>
        </w:rPr>
      </w:pPr>
      <w:r w:rsidRPr="00575F5D">
        <w:rPr>
          <w:color w:val="000000" w:themeColor="text1"/>
          <w:sz w:val="28"/>
          <w:szCs w:val="28"/>
        </w:rPr>
        <w:t xml:space="preserve">В одну из школ района (МКОУ СОШ с. Преображенка) прибыли 2 молодых педагога. </w:t>
      </w:r>
    </w:p>
    <w:p w:rsidR="00987D28" w:rsidRDefault="00987D28" w:rsidP="00987D28">
      <w:pPr>
        <w:pStyle w:val="a3"/>
        <w:spacing w:before="0" w:beforeAutospacing="0" w:after="0" w:afterAutospacing="0"/>
        <w:rPr>
          <w:sz w:val="28"/>
          <w:szCs w:val="28"/>
        </w:rPr>
      </w:pPr>
      <w:r w:rsidRPr="00987D28">
        <w:rPr>
          <w:sz w:val="28"/>
          <w:szCs w:val="28"/>
        </w:rPr>
        <w:t>На слайде представлена небольшая часть трудностей, с которыми сталкиваются молодые специалисты</w:t>
      </w:r>
      <w:r w:rsidR="00575F5D">
        <w:rPr>
          <w:sz w:val="28"/>
          <w:szCs w:val="28"/>
        </w:rPr>
        <w:t xml:space="preserve"> данной школы</w:t>
      </w:r>
      <w:r>
        <w:rPr>
          <w:sz w:val="28"/>
          <w:szCs w:val="28"/>
        </w:rPr>
        <w:t>.</w:t>
      </w:r>
    </w:p>
    <w:p w:rsidR="00575F5D" w:rsidRDefault="00575F5D" w:rsidP="00987D2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87D28" w:rsidRPr="00575F5D" w:rsidRDefault="00575F5D" w:rsidP="00987D2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987D28" w:rsidRDefault="00987D28" w:rsidP="00987D28">
      <w:pPr>
        <w:pStyle w:val="a3"/>
        <w:spacing w:after="0"/>
        <w:rPr>
          <w:sz w:val="28"/>
          <w:szCs w:val="28"/>
        </w:rPr>
      </w:pPr>
      <w:r w:rsidRPr="00987D28">
        <w:rPr>
          <w:sz w:val="28"/>
          <w:szCs w:val="28"/>
        </w:rPr>
        <w:t xml:space="preserve">Многие из этих трудностей решаются в коллективных, групповых формах, таких, как семинары, мастер-классы, педсоветы, методические объединения. </w:t>
      </w:r>
    </w:p>
    <w:p w:rsidR="00575F5D" w:rsidRPr="00575F5D" w:rsidRDefault="00575F5D" w:rsidP="00987D2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</w:p>
    <w:p w:rsidR="00987D28" w:rsidRDefault="00987D28" w:rsidP="00987D28">
      <w:pPr>
        <w:pStyle w:val="a3"/>
        <w:spacing w:after="0"/>
        <w:rPr>
          <w:sz w:val="28"/>
          <w:szCs w:val="28"/>
        </w:rPr>
      </w:pPr>
      <w:r w:rsidRPr="00987D28">
        <w:rPr>
          <w:sz w:val="28"/>
          <w:szCs w:val="28"/>
        </w:rPr>
        <w:t xml:space="preserve">Некоторые из этих трудностей требуют именно парного взаимодействия: опытный учитель-наставник и молодой учитель. И вот здесь первая сложность, как же образовать эту пару? Учитываются многие критерии, но прежде всего, должно быть желание. И это желание должно быть обоюдным. Молодой учитель должен хотеть учиться, а опытный, конечно, передавать свой опыт. Второй критерий: у педагога-наставника должно быть время, которое он может посвятить наставничеству. Здесь мы столкнулись с трудностью: педагоги очень загружены.  И третий критерий: психологическая совместимость и обычная психологическая симпатия. </w:t>
      </w:r>
    </w:p>
    <w:p w:rsidR="00575F5D" w:rsidRPr="00575F5D" w:rsidRDefault="00575F5D" w:rsidP="00987D2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987D28" w:rsidRPr="00987D28" w:rsidRDefault="00EE3B15" w:rsidP="00987D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987D28" w:rsidRPr="00987D28">
        <w:rPr>
          <w:sz w:val="28"/>
          <w:szCs w:val="28"/>
        </w:rPr>
        <w:t xml:space="preserve"> по </w:t>
      </w:r>
      <w:r>
        <w:rPr>
          <w:sz w:val="28"/>
          <w:szCs w:val="28"/>
        </w:rPr>
        <w:t>данной форме наставничества проводится</w:t>
      </w:r>
      <w:r w:rsidR="00987D28" w:rsidRPr="00987D28">
        <w:rPr>
          <w:sz w:val="28"/>
          <w:szCs w:val="28"/>
        </w:rPr>
        <w:t xml:space="preserve"> по следующему принципу:</w:t>
      </w:r>
    </w:p>
    <w:p w:rsidR="00D26A51" w:rsidRPr="00987D28" w:rsidRDefault="004A024C" w:rsidP="00987D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87D28">
        <w:rPr>
          <w:sz w:val="28"/>
          <w:szCs w:val="28"/>
        </w:rPr>
        <w:t xml:space="preserve">Наставник </w:t>
      </w:r>
      <w:r w:rsidR="00987D28" w:rsidRPr="00987D28">
        <w:rPr>
          <w:sz w:val="28"/>
          <w:szCs w:val="28"/>
        </w:rPr>
        <w:t>показывает,</w:t>
      </w:r>
      <w:r w:rsidRPr="00987D28">
        <w:rPr>
          <w:sz w:val="28"/>
          <w:szCs w:val="28"/>
        </w:rPr>
        <w:t xml:space="preserve"> и наставник анализирует: молодые педагоги посещают уроки и внеклассные </w:t>
      </w:r>
      <w:r w:rsidR="00987D28" w:rsidRPr="00987D28">
        <w:rPr>
          <w:sz w:val="28"/>
          <w:szCs w:val="28"/>
        </w:rPr>
        <w:t>мероприятия педагогов</w:t>
      </w:r>
      <w:r w:rsidRPr="00987D28">
        <w:rPr>
          <w:sz w:val="28"/>
          <w:szCs w:val="28"/>
        </w:rPr>
        <w:t xml:space="preserve">-наставников, после которых педагоги проанализировали свои уроки и мероприятия.  </w:t>
      </w:r>
    </w:p>
    <w:p w:rsidR="00D26A51" w:rsidRPr="00987D28" w:rsidRDefault="004A024C" w:rsidP="00987D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87D28">
        <w:rPr>
          <w:sz w:val="28"/>
          <w:szCs w:val="28"/>
        </w:rPr>
        <w:t xml:space="preserve">Проектируют вместе – анализируют вместе. </w:t>
      </w:r>
    </w:p>
    <w:p w:rsidR="00987D28" w:rsidRDefault="004A024C" w:rsidP="00987D28">
      <w:pPr>
        <w:pStyle w:val="a3"/>
        <w:numPr>
          <w:ilvl w:val="0"/>
          <w:numId w:val="2"/>
        </w:numPr>
        <w:rPr>
          <w:sz w:val="28"/>
          <w:szCs w:val="28"/>
        </w:rPr>
      </w:pPr>
      <w:r w:rsidRPr="00987D28">
        <w:rPr>
          <w:sz w:val="28"/>
          <w:szCs w:val="28"/>
        </w:rPr>
        <w:t>Молодой учитель проектирует и анализирует</w:t>
      </w:r>
    </w:p>
    <w:p w:rsidR="00941C7C" w:rsidRDefault="00941C7C" w:rsidP="00987D2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СЛАЙД 8</w:t>
      </w:r>
    </w:p>
    <w:p w:rsidR="00B90F3B" w:rsidRDefault="00B90F3B" w:rsidP="00987D2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Еще одна модель наставничества по форме «Учитель – учитель»:</w:t>
      </w:r>
    </w:p>
    <w:p w:rsidR="00941C7C" w:rsidRPr="00941C7C" w:rsidRDefault="00B90F3B" w:rsidP="00941C7C">
      <w:pPr>
        <w:pStyle w:val="a3"/>
        <w:rPr>
          <w:b/>
          <w:bCs/>
          <w:sz w:val="28"/>
          <w:szCs w:val="28"/>
        </w:rPr>
      </w:pPr>
      <w:r w:rsidRPr="00B90F3B">
        <w:rPr>
          <w:b/>
          <w:bCs/>
          <w:sz w:val="28"/>
          <w:szCs w:val="28"/>
        </w:rPr>
        <w:t>«</w:t>
      </w:r>
      <w:r w:rsidR="00941C7C" w:rsidRPr="00941C7C">
        <w:rPr>
          <w:b/>
          <w:bCs/>
          <w:sz w:val="28"/>
          <w:szCs w:val="28"/>
        </w:rPr>
        <w:t xml:space="preserve">Владеющий ИКТ технологиями – испытывающий трудности во владении ИКТ технологиями» </w:t>
      </w:r>
    </w:p>
    <w:p w:rsidR="00941C7C" w:rsidRPr="00941C7C" w:rsidRDefault="00941C7C" w:rsidP="00941C7C">
      <w:pPr>
        <w:pStyle w:val="a3"/>
        <w:rPr>
          <w:sz w:val="28"/>
          <w:szCs w:val="28"/>
        </w:rPr>
      </w:pPr>
      <w:r w:rsidRPr="00941C7C">
        <w:rPr>
          <w:sz w:val="28"/>
          <w:szCs w:val="28"/>
        </w:rPr>
        <w:t>Данная форма наставничества реализуется в образовательном учреждении начальной школе – детском саду с. Ерема. Программа рассчитана на 3 года и направлена на освоение основных методов, которые необходимы в работе педагога дошкольного образования (создание презентаций, интерактивных видеороликов, освоение облачных технологий и т.д.).</w:t>
      </w:r>
    </w:p>
    <w:p w:rsidR="00941C7C" w:rsidRDefault="00941C7C" w:rsidP="00941C7C">
      <w:pPr>
        <w:pStyle w:val="a3"/>
        <w:rPr>
          <w:sz w:val="28"/>
          <w:szCs w:val="28"/>
        </w:rPr>
      </w:pPr>
      <w:r w:rsidRPr="00941C7C">
        <w:rPr>
          <w:sz w:val="28"/>
          <w:szCs w:val="28"/>
        </w:rPr>
        <w:t>Учитель – наставник помогает освоить ИКТ технологии воспитателю дошкольной группы – наставляемому.</w:t>
      </w:r>
    </w:p>
    <w:p w:rsidR="007328DA" w:rsidRPr="007328DA" w:rsidRDefault="007328DA" w:rsidP="00941C7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9814D1" w:rsidRPr="00987D28" w:rsidRDefault="007328DA" w:rsidP="009814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+mn-cs"/>
          <w:b/>
          <w:bCs/>
          <w:color w:val="000000"/>
          <w:kern w:val="24"/>
          <w:sz w:val="28"/>
          <w:szCs w:val="28"/>
          <w:lang w:eastAsia="ru-RU"/>
        </w:rPr>
        <w:t>Еще одна</w:t>
      </w:r>
      <w:r w:rsidR="009814D1" w:rsidRPr="003F2C97">
        <w:rPr>
          <w:rFonts w:ascii="Times New Roman" w:eastAsia="Calibri" w:hAnsi="Times New Roman" w:cs="+mn-cs"/>
          <w:b/>
          <w:bCs/>
          <w:color w:val="000000"/>
          <w:kern w:val="24"/>
          <w:sz w:val="28"/>
          <w:szCs w:val="28"/>
          <w:lang w:eastAsia="ru-RU"/>
        </w:rPr>
        <w:t xml:space="preserve"> форма наставничества</w:t>
      </w:r>
      <w:r>
        <w:rPr>
          <w:rFonts w:ascii="Times New Roman" w:eastAsia="Calibri" w:hAnsi="Times New Roman" w:cs="+mn-cs"/>
          <w:b/>
          <w:bCs/>
          <w:color w:val="000000"/>
          <w:kern w:val="24"/>
          <w:sz w:val="28"/>
          <w:szCs w:val="28"/>
          <w:lang w:eastAsia="ru-RU"/>
        </w:rPr>
        <w:t>, реализуемая в школах района</w:t>
      </w:r>
      <w:r w:rsidR="009814D1" w:rsidRPr="003F2C97">
        <w:rPr>
          <w:rFonts w:ascii="Times New Roman" w:eastAsia="Calibri" w:hAnsi="Times New Roman" w:cs="+mn-cs"/>
          <w:b/>
          <w:bCs/>
          <w:color w:val="000000"/>
          <w:kern w:val="24"/>
          <w:sz w:val="28"/>
          <w:szCs w:val="28"/>
          <w:lang w:eastAsia="ru-RU"/>
        </w:rPr>
        <w:t xml:space="preserve"> «Учитель – ученик».</w:t>
      </w:r>
    </w:p>
    <w:p w:rsidR="009814D1" w:rsidRPr="009A403E" w:rsidRDefault="00FE6270" w:rsidP="009814D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 данном направлении реализуе</w:t>
      </w:r>
      <w:r w:rsidR="009814D1">
        <w:rPr>
          <w:bCs/>
          <w:sz w:val="28"/>
          <w:szCs w:val="28"/>
        </w:rPr>
        <w:t>тся модель:</w:t>
      </w:r>
    </w:p>
    <w:p w:rsidR="009814D1" w:rsidRDefault="009814D1" w:rsidP="00FE6270">
      <w:pPr>
        <w:pStyle w:val="a3"/>
        <w:rPr>
          <w:sz w:val="28"/>
          <w:szCs w:val="28"/>
        </w:rPr>
      </w:pPr>
      <w:r w:rsidRPr="00FE6270">
        <w:rPr>
          <w:b/>
          <w:bCs/>
          <w:sz w:val="28"/>
          <w:szCs w:val="28"/>
        </w:rPr>
        <w:t>«учитель – одаренный ученик»</w:t>
      </w:r>
      <w:r w:rsidRPr="00FE6270">
        <w:rPr>
          <w:sz w:val="28"/>
          <w:szCs w:val="28"/>
        </w:rPr>
        <w:t xml:space="preserve"> - где оказывается поддержка </w:t>
      </w:r>
      <w:r w:rsidR="00FE6270">
        <w:rPr>
          <w:sz w:val="28"/>
          <w:szCs w:val="28"/>
        </w:rPr>
        <w:t>учителем</w:t>
      </w:r>
      <w:r w:rsidRPr="00FE6270">
        <w:rPr>
          <w:sz w:val="28"/>
          <w:szCs w:val="28"/>
        </w:rPr>
        <w:t xml:space="preserve"> инициативности одаренного учащегося, стимулируется творческая активность в процессе обучения и участие учащихся в творческих мероприятиях, таких как «Ученик года», где наставник закрепляется приказом директора школы, участие в научно-практических конференциях</w:t>
      </w:r>
      <w:r w:rsidR="00FE6270" w:rsidRPr="00FE6270">
        <w:rPr>
          <w:sz w:val="28"/>
          <w:szCs w:val="28"/>
        </w:rPr>
        <w:t>, где дети представляют свои проекты, разрабатываемые по</w:t>
      </w:r>
      <w:r w:rsidR="00FE6270">
        <w:rPr>
          <w:sz w:val="28"/>
          <w:szCs w:val="28"/>
        </w:rPr>
        <w:t>д</w:t>
      </w:r>
      <w:r w:rsidR="00FE6270" w:rsidRPr="00FE6270">
        <w:rPr>
          <w:sz w:val="28"/>
          <w:szCs w:val="28"/>
        </w:rPr>
        <w:t xml:space="preserve"> руководством педагога – наставника, участие </w:t>
      </w:r>
      <w:r w:rsidR="00FE6270">
        <w:rPr>
          <w:sz w:val="28"/>
          <w:szCs w:val="28"/>
        </w:rPr>
        <w:t>во Всероссийской олимпиаде школь</w:t>
      </w:r>
      <w:r w:rsidR="00FE6270" w:rsidRPr="00FE6270">
        <w:rPr>
          <w:sz w:val="28"/>
          <w:szCs w:val="28"/>
        </w:rPr>
        <w:t>ников.</w:t>
      </w:r>
      <w:r w:rsidR="00FE6270">
        <w:rPr>
          <w:sz w:val="28"/>
          <w:szCs w:val="28"/>
        </w:rPr>
        <w:t xml:space="preserve"> </w:t>
      </w:r>
    </w:p>
    <w:p w:rsidR="005C6C4E" w:rsidRPr="005C6C4E" w:rsidRDefault="005C6C4E" w:rsidP="00FE62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FE6270" w:rsidRDefault="00FE6270" w:rsidP="00FE627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Еще одна модель: </w:t>
      </w:r>
      <w:r>
        <w:rPr>
          <w:b/>
          <w:sz w:val="28"/>
          <w:szCs w:val="28"/>
        </w:rPr>
        <w:t xml:space="preserve">«учитель – </w:t>
      </w:r>
      <w:proofErr w:type="spellStart"/>
      <w:r>
        <w:rPr>
          <w:b/>
          <w:sz w:val="28"/>
          <w:szCs w:val="28"/>
        </w:rPr>
        <w:t>низкомотивированный</w:t>
      </w:r>
      <w:proofErr w:type="spellEnd"/>
      <w:r>
        <w:rPr>
          <w:b/>
          <w:sz w:val="28"/>
          <w:szCs w:val="28"/>
        </w:rPr>
        <w:t xml:space="preserve"> слабоуспевающий ученик»</w:t>
      </w:r>
    </w:p>
    <w:p w:rsidR="00FE6270" w:rsidRPr="00FE6270" w:rsidRDefault="00FE6270" w:rsidP="00FE6270">
      <w:pPr>
        <w:pStyle w:val="a3"/>
        <w:rPr>
          <w:iCs/>
          <w:sz w:val="28"/>
          <w:szCs w:val="28"/>
        </w:rPr>
      </w:pPr>
      <w:r w:rsidRPr="00FE6270">
        <w:rPr>
          <w:sz w:val="28"/>
          <w:szCs w:val="28"/>
        </w:rPr>
        <w:t xml:space="preserve">Несмотря </w:t>
      </w:r>
      <w:r>
        <w:rPr>
          <w:sz w:val="28"/>
          <w:szCs w:val="28"/>
        </w:rPr>
        <w:t>на все усилия педагогов, такие дети есть в каждой школе. Поэтому здесь помогает индивидуальная работа с ребенком, которая планируется наставником в результате выявленных затруднений и проблем. Такая работа дает свои результаты. Промежуточный итог показал, что за полугодие качество обученности в таких наставнических парах возросло. Например, в МКОУ СОШ с. Непа двое обучающихся по итогам</w:t>
      </w:r>
      <w:r>
        <w:rPr>
          <w:iCs/>
          <w:sz w:val="28"/>
          <w:szCs w:val="28"/>
        </w:rPr>
        <w:t xml:space="preserve"> 1 четверти имели оценку 3 по предмету, а по итогам 2 четверти по этим же предметам оценка 4.</w:t>
      </w:r>
    </w:p>
    <w:p w:rsidR="009814D1" w:rsidRPr="00987D28" w:rsidRDefault="009814D1" w:rsidP="009814D1">
      <w:pPr>
        <w:pStyle w:val="a3"/>
        <w:spacing w:after="0"/>
        <w:rPr>
          <w:sz w:val="28"/>
          <w:szCs w:val="28"/>
        </w:rPr>
      </w:pPr>
      <w:r w:rsidRPr="00987D28">
        <w:rPr>
          <w:i/>
          <w:iCs/>
          <w:sz w:val="28"/>
          <w:szCs w:val="28"/>
        </w:rPr>
        <w:t> </w:t>
      </w:r>
    </w:p>
    <w:p w:rsidR="00941C7C" w:rsidRPr="00941C7C" w:rsidRDefault="005C6C4E" w:rsidP="00987D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11</w:t>
      </w:r>
    </w:p>
    <w:p w:rsidR="00987D28" w:rsidRDefault="003F2C97" w:rsidP="00987D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Также в </w:t>
      </w:r>
      <w:r w:rsidRPr="00987D28">
        <w:rPr>
          <w:sz w:val="28"/>
          <w:szCs w:val="28"/>
        </w:rPr>
        <w:t>школах</w:t>
      </w:r>
      <w:r w:rsidR="00987D28" w:rsidRPr="00987D28">
        <w:rPr>
          <w:sz w:val="28"/>
          <w:szCs w:val="28"/>
        </w:rPr>
        <w:t xml:space="preserve"> района реализуется форма наставничества ученик – ученик.</w:t>
      </w:r>
      <w:r w:rsidR="00941C7C">
        <w:rPr>
          <w:sz w:val="28"/>
          <w:szCs w:val="28"/>
        </w:rPr>
        <w:t xml:space="preserve"> Данная форма наставничества применяется в двух самых больших школах района.</w:t>
      </w:r>
    </w:p>
    <w:p w:rsidR="00941C7C" w:rsidRPr="00AE5959" w:rsidRDefault="00941C7C" w:rsidP="00941C7C">
      <w:pPr>
        <w:pStyle w:val="a3"/>
        <w:rPr>
          <w:sz w:val="28"/>
          <w:szCs w:val="28"/>
        </w:rPr>
      </w:pPr>
      <w:r w:rsidRPr="00AE5959">
        <w:rPr>
          <w:b/>
          <w:bCs/>
          <w:sz w:val="28"/>
          <w:szCs w:val="28"/>
        </w:rPr>
        <w:t>Реализуемы</w:t>
      </w:r>
      <w:r w:rsidR="009814D1">
        <w:rPr>
          <w:b/>
          <w:bCs/>
          <w:sz w:val="28"/>
          <w:szCs w:val="28"/>
        </w:rPr>
        <w:t>е</w:t>
      </w:r>
      <w:r w:rsidRPr="00AE5959">
        <w:rPr>
          <w:b/>
          <w:bCs/>
          <w:sz w:val="28"/>
          <w:szCs w:val="28"/>
        </w:rPr>
        <w:t xml:space="preserve"> ролевые модели по данной форме наставничества:</w:t>
      </w:r>
    </w:p>
    <w:p w:rsidR="00941C7C" w:rsidRPr="00AE5959" w:rsidRDefault="00941C7C" w:rsidP="00941C7C">
      <w:pPr>
        <w:pStyle w:val="a3"/>
        <w:numPr>
          <w:ilvl w:val="0"/>
          <w:numId w:val="5"/>
        </w:numPr>
        <w:rPr>
          <w:sz w:val="28"/>
          <w:szCs w:val="28"/>
        </w:rPr>
      </w:pPr>
      <w:r w:rsidRPr="00AE5959">
        <w:rPr>
          <w:b/>
          <w:bCs/>
          <w:sz w:val="28"/>
          <w:szCs w:val="28"/>
        </w:rPr>
        <w:t>«Успевающий-неуспевающий</w:t>
      </w:r>
    </w:p>
    <w:p w:rsidR="00941C7C" w:rsidRPr="00941C7C" w:rsidRDefault="00941C7C" w:rsidP="00987D28">
      <w:pPr>
        <w:pStyle w:val="a3"/>
        <w:numPr>
          <w:ilvl w:val="0"/>
          <w:numId w:val="5"/>
        </w:numPr>
        <w:rPr>
          <w:sz w:val="28"/>
          <w:szCs w:val="28"/>
        </w:rPr>
      </w:pPr>
      <w:r w:rsidRPr="00AE5959">
        <w:rPr>
          <w:b/>
          <w:bCs/>
          <w:sz w:val="28"/>
          <w:szCs w:val="28"/>
        </w:rPr>
        <w:t xml:space="preserve"> «Лидер-пассивный»</w:t>
      </w:r>
      <w:r w:rsidRPr="00AE5959">
        <w:rPr>
          <w:sz w:val="28"/>
          <w:szCs w:val="28"/>
        </w:rPr>
        <w:t xml:space="preserve"> </w:t>
      </w:r>
    </w:p>
    <w:p w:rsidR="00987D28" w:rsidRDefault="00987D28" w:rsidP="00987D28">
      <w:pPr>
        <w:pStyle w:val="a3"/>
        <w:rPr>
          <w:sz w:val="28"/>
          <w:szCs w:val="28"/>
        </w:rPr>
      </w:pPr>
      <w:r w:rsidRPr="00987D28">
        <w:rPr>
          <w:sz w:val="28"/>
          <w:szCs w:val="28"/>
        </w:rPr>
        <w:t>Организация работы по данной форме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987D28" w:rsidRDefault="00987D28" w:rsidP="00987D28">
      <w:pPr>
        <w:pStyle w:val="a3"/>
        <w:rPr>
          <w:sz w:val="28"/>
          <w:szCs w:val="28"/>
        </w:rPr>
      </w:pPr>
      <w:r w:rsidRPr="00987D28">
        <w:rPr>
          <w:sz w:val="28"/>
          <w:szCs w:val="28"/>
        </w:rPr>
        <w:t xml:space="preserve">Реализация </w:t>
      </w:r>
      <w:r w:rsidR="00941C7C">
        <w:rPr>
          <w:sz w:val="28"/>
          <w:szCs w:val="28"/>
        </w:rPr>
        <w:t xml:space="preserve">данной формы </w:t>
      </w:r>
      <w:r w:rsidRPr="00987D28">
        <w:rPr>
          <w:sz w:val="28"/>
          <w:szCs w:val="28"/>
        </w:rPr>
        <w:t xml:space="preserve">программы осуществляется в течение календарного года. </w:t>
      </w:r>
      <w:r w:rsidR="00941C7C">
        <w:rPr>
          <w:sz w:val="28"/>
          <w:szCs w:val="28"/>
        </w:rPr>
        <w:t>Направления работы</w:t>
      </w:r>
      <w:r w:rsidRPr="00987D28">
        <w:rPr>
          <w:sz w:val="28"/>
          <w:szCs w:val="28"/>
        </w:rPr>
        <w:t xml:space="preserve"> наставник и наставляемый </w:t>
      </w:r>
      <w:r w:rsidR="00941C7C">
        <w:rPr>
          <w:sz w:val="28"/>
          <w:szCs w:val="28"/>
        </w:rPr>
        <w:t xml:space="preserve">совместно с куратором </w:t>
      </w:r>
      <w:r w:rsidRPr="00987D28">
        <w:rPr>
          <w:sz w:val="28"/>
          <w:szCs w:val="28"/>
        </w:rPr>
        <w:t xml:space="preserve">определяют </w:t>
      </w:r>
      <w:r w:rsidR="00EE3B15">
        <w:rPr>
          <w:sz w:val="28"/>
          <w:szCs w:val="28"/>
        </w:rPr>
        <w:t>при про</w:t>
      </w:r>
      <w:r w:rsidRPr="00987D28">
        <w:rPr>
          <w:sz w:val="28"/>
          <w:szCs w:val="28"/>
        </w:rPr>
        <w:t>ведении встречи – планировании.</w:t>
      </w:r>
    </w:p>
    <w:p w:rsidR="008D6820" w:rsidRPr="008D6820" w:rsidRDefault="005C6C4E" w:rsidP="00987D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</w:p>
    <w:p w:rsidR="00941C7C" w:rsidRDefault="00941C7C" w:rsidP="00987D2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Подводя предварительные итоги работы по данному направлению выявлены следующие промежуточные результаты:</w:t>
      </w:r>
    </w:p>
    <w:p w:rsidR="00941C7C" w:rsidRDefault="00941C7C" w:rsidP="00987D2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Количество наставников и наставляемых увеличивается за счет положительного результата работы наставнических</w:t>
      </w:r>
      <w:r w:rsidR="009814D1">
        <w:rPr>
          <w:sz w:val="28"/>
          <w:szCs w:val="28"/>
        </w:rPr>
        <w:t xml:space="preserve"> групп, такого, как:</w:t>
      </w:r>
    </w:p>
    <w:p w:rsidR="009814D1" w:rsidRDefault="009814D1" w:rsidP="009814D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активное участие обучающихся в конкурсах, спортивных мероприятиях, олимпиадах, во внеурочной деятельности.</w:t>
      </w:r>
    </w:p>
    <w:p w:rsidR="008D6820" w:rsidRPr="008D6820" w:rsidRDefault="005C6C4E" w:rsidP="008D68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8D6820" w:rsidRPr="008D6820" w:rsidRDefault="007328DA" w:rsidP="008D68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предварительным результатам реализации муниципальной программы наставничества в МО «Катангский район» </w:t>
      </w:r>
      <w:r w:rsidR="00E04B2C">
        <w:rPr>
          <w:sz w:val="28"/>
          <w:szCs w:val="28"/>
        </w:rPr>
        <w:t>в муниципальном</w:t>
      </w:r>
      <w:bookmarkStart w:id="0" w:name="_GoBack"/>
      <w:bookmarkEnd w:id="0"/>
      <w:r w:rsidR="00E04B2C">
        <w:rPr>
          <w:sz w:val="28"/>
          <w:szCs w:val="28"/>
        </w:rPr>
        <w:t xml:space="preserve"> отделе образования </w:t>
      </w:r>
      <w:r>
        <w:rPr>
          <w:sz w:val="28"/>
          <w:szCs w:val="28"/>
        </w:rPr>
        <w:t>в марте прошел круглый стол с целью обмена опытом по реализации программ наставничества в образовательных организациях</w:t>
      </w:r>
      <w:r w:rsidR="008D6820">
        <w:rPr>
          <w:sz w:val="28"/>
          <w:szCs w:val="28"/>
        </w:rPr>
        <w:t xml:space="preserve">, </w:t>
      </w:r>
      <w:r w:rsidR="008D6820" w:rsidRPr="008D6820">
        <w:rPr>
          <w:sz w:val="28"/>
          <w:szCs w:val="28"/>
        </w:rPr>
        <w:t>на котором руководители образовательных учреждений представили свой опыт работы по реализации программ наставничества.</w:t>
      </w:r>
    </w:p>
    <w:p w:rsidR="008D6820" w:rsidRPr="008D6820" w:rsidRDefault="008D6820" w:rsidP="008D6820">
      <w:pPr>
        <w:pStyle w:val="a3"/>
        <w:rPr>
          <w:sz w:val="28"/>
          <w:szCs w:val="28"/>
        </w:rPr>
      </w:pPr>
      <w:r w:rsidRPr="008D6820">
        <w:rPr>
          <w:sz w:val="28"/>
          <w:szCs w:val="28"/>
        </w:rPr>
        <w:t>Участникам круглого стола представилась возможность высказать свою точку зрения по обсуждаемому вопросу, озвучить пути раб</w:t>
      </w:r>
      <w:r>
        <w:rPr>
          <w:sz w:val="28"/>
          <w:szCs w:val="28"/>
        </w:rPr>
        <w:t>оты в этом направлении, трудности, с которыми столкнулись, положительные результаты. Обозначили шаги в дальнейшей работе в этом направлении.</w:t>
      </w:r>
    </w:p>
    <w:p w:rsidR="00987D28" w:rsidRPr="008D6820" w:rsidRDefault="00987D28">
      <w:pPr>
        <w:rPr>
          <w:sz w:val="28"/>
          <w:szCs w:val="28"/>
        </w:rPr>
      </w:pPr>
    </w:p>
    <w:sectPr w:rsidR="00987D28" w:rsidRPr="008D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5DE"/>
    <w:multiLevelType w:val="hybridMultilevel"/>
    <w:tmpl w:val="7AC0A468"/>
    <w:lvl w:ilvl="0" w:tplc="9E165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A0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E5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24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A6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64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A7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28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44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3156EA"/>
    <w:multiLevelType w:val="hybridMultilevel"/>
    <w:tmpl w:val="3612B1F6"/>
    <w:lvl w:ilvl="0" w:tplc="C8B8E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42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08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6F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26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D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80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87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85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167F05"/>
    <w:multiLevelType w:val="hybridMultilevel"/>
    <w:tmpl w:val="48AC7250"/>
    <w:lvl w:ilvl="0" w:tplc="E1483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01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0F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01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6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C4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0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41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6F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080BAA"/>
    <w:multiLevelType w:val="hybridMultilevel"/>
    <w:tmpl w:val="6CCAEDEA"/>
    <w:lvl w:ilvl="0" w:tplc="C3E6E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C8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A8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AC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80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ECB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4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2D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C3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B07D25"/>
    <w:multiLevelType w:val="hybridMultilevel"/>
    <w:tmpl w:val="9B126B68"/>
    <w:lvl w:ilvl="0" w:tplc="E1BA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8F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C0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2E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6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89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8A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E5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21671F"/>
    <w:multiLevelType w:val="hybridMultilevel"/>
    <w:tmpl w:val="DA86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439A"/>
    <w:multiLevelType w:val="hybridMultilevel"/>
    <w:tmpl w:val="47F0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5363"/>
    <w:multiLevelType w:val="hybridMultilevel"/>
    <w:tmpl w:val="6698729C"/>
    <w:lvl w:ilvl="0" w:tplc="5BE85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8D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AE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88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84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CF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8F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84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CD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28"/>
    <w:rsid w:val="00261A23"/>
    <w:rsid w:val="00291821"/>
    <w:rsid w:val="003F2C97"/>
    <w:rsid w:val="004A024C"/>
    <w:rsid w:val="00575F5D"/>
    <w:rsid w:val="005C6C4E"/>
    <w:rsid w:val="0067231D"/>
    <w:rsid w:val="007328DA"/>
    <w:rsid w:val="008D6820"/>
    <w:rsid w:val="00941C7C"/>
    <w:rsid w:val="009814D1"/>
    <w:rsid w:val="00987D28"/>
    <w:rsid w:val="009A403E"/>
    <w:rsid w:val="00AE5959"/>
    <w:rsid w:val="00B90F3B"/>
    <w:rsid w:val="00D26A51"/>
    <w:rsid w:val="00D27F42"/>
    <w:rsid w:val="00E04B2C"/>
    <w:rsid w:val="00EE3B15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7F4F"/>
  <w15:chartTrackingRefBased/>
  <w15:docId w15:val="{C6F2F2F2-5E80-4CD3-8F06-DE6DD0C5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24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2022-04-07T06:04:00Z</dcterms:created>
  <dcterms:modified xsi:type="dcterms:W3CDTF">2022-04-11T04:32:00Z</dcterms:modified>
</cp:coreProperties>
</file>